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8EFFAE">
      <w:pPr>
        <w:pStyle w:val="15"/>
        <w:widowControl/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mc:AlternateContent>
        <mc:Choice Requires="wpsCustomData">
          <wpsCustomData:docfieldStart id="0" docfieldname="标题_1" hidden="0" print="1" readonly="0" index="1"/>
        </mc:Choice>
      </mc:AlternateContent>
      <w:r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  <w:t>全校科研能力提升系列专题讲座</w:t>
      </w:r>
      <mc:AlternateContent>
        <mc:Choice Requires="wpsCustomData">
          <wpsCustomData:docfieldEnd id="0"/>
        </mc:Choice>
      </mc:AlternateContent>
    </w:p>
    <w:p w14:paraId="4BE791CD">
      <w:pPr>
        <w:pStyle w:val="11"/>
        <w:bidi w:val="0"/>
        <w:spacing w:beforeAutospacing="0" w:afterAutospacing="0" w:line="300" w:lineRule="exact"/>
      </w:pPr>
    </w:p>
    <w:p w14:paraId="63E24186">
      <w:pPr>
        <w:pStyle w:val="11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为进一步夯实我校师生科研基础、破解科研工作难点痛点，提升师生科研创新能力、项目申报质量与学术论文刊发水平，助力学校科研工作高质量发展，我校将在2026年10月</w:t>
      </w: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 xml:space="preserve">-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12月开展科研能力提升系列专题讲座。本次系列讲座由分管科研工作的肖云副校长主讲，面向全校教职工、科研骨干及有志于科研的学生，具体安排如下：</w:t>
      </w:r>
    </w:p>
    <w:p w14:paraId="1E792BA8">
      <w:pPr>
        <w:pStyle w:val="2"/>
        <w:widowControl/>
        <w:numPr>
          <w:ilvl w:val="0"/>
          <w:numId w:val="0"/>
        </w:numPr>
        <w:topLinePunct w:val="0"/>
        <w:ind w:left="0" w:leftChars="0" w:firstLine="640"/>
        <w:rPr>
          <w:rFonts w:hint="eastAsia" w:eastAsia="黑体"/>
          <w:b w:val="0"/>
          <w:bCs w:val="0"/>
          <w:sz w:val="32"/>
          <w:szCs w:val="32"/>
          <w:lang w:eastAsia="zh-CN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一、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主讲</w:t>
      </w:r>
      <w:r>
        <w:rPr>
          <w:rFonts w:hint="eastAsia" w:cs="黑体"/>
          <w:b w:val="0"/>
          <w:bCs w:val="0"/>
          <w:sz w:val="32"/>
          <w:szCs w:val="32"/>
          <w:lang w:eastAsia="zh-CN"/>
        </w:rPr>
        <w:t>人</w:t>
      </w:r>
    </w:p>
    <w:p w14:paraId="26D3A4B4">
      <w:pPr>
        <w:pStyle w:val="11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pacing wpsCustomData:val="-6" w:val="-3"/>
          <w:sz w:val="32"/>
          <w:szCs w:val="32"/>
        </w:rPr>
        <w:t>肖</w:t>
      </w:r>
      <w:r>
        <w:rPr>
          <w:rFonts w:ascii="Times New Roman" w:hAnsi="Times New Roman" w:eastAsia="仿宋_GB2312" w:cs="仿宋_GB2312"/>
          <w:b w:val="0"/>
          <w:bCs w:val="0"/>
          <w:spacing wpsCustomData:val="-6" w:val="-2"/>
          <w:sz w:val="32"/>
          <w:szCs w:val="32"/>
        </w:rPr>
        <w:t>云，副校长，</w:t>
      </w:r>
      <w:r>
        <w:rPr>
          <w:rFonts w:hint="eastAsia" w:cs="仿宋_GB2312"/>
          <w:b w:val="0"/>
          <w:bCs w:val="0"/>
          <w:spacing wpsCustomData:val="-6" w:val="-2"/>
          <w:sz w:val="32"/>
          <w:szCs w:val="32"/>
          <w:lang w:val="en-US" w:eastAsia="zh-CN"/>
        </w:rPr>
        <w:t>文化传承学院院长，绵阳市社科联副主席</w:t>
      </w:r>
      <w:r>
        <w:rPr>
          <w:rFonts w:hint="eastAsia" w:cs="仿宋_GB2312"/>
          <w:b w:val="0"/>
          <w:bCs w:val="0"/>
          <w:spacing wpsCustomData:val="-6" w:val="-6"/>
          <w:sz w:val="32"/>
          <w:szCs w:val="32"/>
          <w:lang w:val="en-US" w:eastAsia="zh-CN"/>
        </w:rPr>
        <w:t>。</w:t>
      </w:r>
    </w:p>
    <w:p w14:paraId="6605C41D">
      <w:pPr>
        <w:pStyle w:val="2"/>
        <w:widowControl/>
        <w:numPr>
          <w:ilvl w:val="0"/>
          <w:numId w:val="0"/>
        </w:numPr>
        <w:topLinePunct w:val="0"/>
        <w:ind w:left="0" w:leftChars="0" w:firstLine="640"/>
        <w:rPr>
          <w:rFonts w:eastAsia="黑体"/>
          <w:b w:val="0"/>
          <w:bCs w:val="0"/>
          <w:sz w:val="32"/>
          <w:szCs w:val="32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二、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讲座安排</w:t>
      </w:r>
    </w:p>
    <w:p w14:paraId="2EE5124E">
      <w:pPr>
        <w:pStyle w:val="11"/>
        <w:widowControl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本次系列讲座贯穿10月、11月、12月，采用</w:t>
      </w:r>
      <w:r>
        <w:rPr>
          <w:rStyle w:val="18"/>
          <w:rFonts w:ascii="Times New Roman" w:hAnsi="Times New Roman" w:eastAsia="仿宋_GB2312" w:cs="仿宋_GB2312"/>
          <w:sz w:val="32"/>
          <w:szCs w:val="32"/>
        </w:rPr>
        <w:t>双校区轮讲</w:t>
      </w:r>
      <w:r>
        <w:rPr>
          <w:rFonts w:ascii="Times New Roman" w:hAnsi="Times New Roman" w:eastAsia="仿宋_GB2312" w:cs="仿宋_GB2312"/>
          <w:sz w:val="32"/>
          <w:szCs w:val="32"/>
        </w:rPr>
        <w:t>模式，每月分别在</w:t>
      </w:r>
      <w:r>
        <w:rPr>
          <w:rStyle w:val="18"/>
          <w:rFonts w:ascii="Times New Roman" w:hAnsi="Times New Roman" w:eastAsia="仿宋_GB2312" w:cs="仿宋_GB2312"/>
          <w:sz w:val="32"/>
          <w:szCs w:val="32"/>
        </w:rPr>
        <w:t>绵阳校区、梓潼校区</w:t>
      </w:r>
      <w:r>
        <w:rPr>
          <w:rFonts w:ascii="Times New Roman" w:hAnsi="Times New Roman" w:eastAsia="仿宋_GB2312" w:cs="仿宋_GB2312"/>
          <w:sz w:val="32"/>
          <w:szCs w:val="32"/>
        </w:rPr>
        <w:t>各开展1场专题讲座，覆盖两校区全体</w:t>
      </w:r>
      <w:r>
        <w:rPr>
          <w:rFonts w:hint="eastAsia" w:cs="仿宋_GB2312"/>
          <w:sz w:val="32"/>
          <w:szCs w:val="32"/>
          <w:lang w:val="en-US" w:eastAsia="zh-CN"/>
        </w:rPr>
        <w:t>教师</w:t>
      </w:r>
      <w:r>
        <w:rPr>
          <w:rFonts w:ascii="Times New Roman" w:hAnsi="Times New Roman" w:eastAsia="仿宋_GB2312" w:cs="仿宋_GB2312"/>
          <w:sz w:val="32"/>
          <w:szCs w:val="32"/>
        </w:rPr>
        <w:t>，实现科研指导全覆盖、无死角。讲座层层递进、循序渐进，从</w:t>
      </w:r>
      <w:r>
        <w:rPr>
          <w:rFonts w:hint="eastAsia" w:cs="仿宋_GB2312"/>
          <w:sz w:val="32"/>
          <w:szCs w:val="32"/>
          <w:lang w:val="en-US" w:eastAsia="zh-CN"/>
        </w:rPr>
        <w:t>学术智能体</w:t>
      </w:r>
      <w:r>
        <w:rPr>
          <w:rFonts w:ascii="Times New Roman" w:hAnsi="Times New Roman" w:eastAsia="仿宋_GB2312" w:cs="仿宋_GB2312"/>
          <w:sz w:val="32"/>
          <w:szCs w:val="32"/>
        </w:rPr>
        <w:t>搭建、</w:t>
      </w:r>
      <w:r>
        <w:rPr>
          <w:rFonts w:hint="eastAsia" w:cs="仿宋_GB2312"/>
          <w:sz w:val="32"/>
          <w:szCs w:val="32"/>
          <w:lang w:val="en-US" w:eastAsia="zh-CN"/>
        </w:rPr>
        <w:t>学术智能体应用</w:t>
      </w:r>
      <w:r>
        <w:rPr>
          <w:rFonts w:ascii="Times New Roman" w:hAnsi="Times New Roman" w:eastAsia="仿宋_GB2312" w:cs="仿宋_GB2312"/>
          <w:sz w:val="32"/>
          <w:szCs w:val="32"/>
        </w:rPr>
        <w:t>到论文写作投稿，</w:t>
      </w:r>
      <w:r>
        <w:rPr>
          <w:rFonts w:hint="eastAsia" w:cs="仿宋_GB2312"/>
          <w:sz w:val="32"/>
          <w:szCs w:val="32"/>
          <w:lang w:val="en-US" w:eastAsia="zh-CN"/>
        </w:rPr>
        <w:t>每个环节均以操作性作为主要内容和目标</w:t>
      </w:r>
      <w:r>
        <w:rPr>
          <w:rFonts w:ascii="Times New Roman" w:hAnsi="Times New Roman" w:eastAsia="仿宋_GB2312" w:cs="仿宋_GB2312"/>
          <w:sz w:val="32"/>
          <w:szCs w:val="32"/>
        </w:rPr>
        <w:t>。</w:t>
      </w:r>
    </w:p>
    <w:p w14:paraId="10347983">
      <w:pPr>
        <w:pStyle w:val="2"/>
        <w:widowControl/>
        <w:numPr>
          <w:ilvl w:val="0"/>
          <w:numId w:val="0"/>
        </w:numPr>
        <w:topLinePunct w:val="0"/>
        <w:ind w:left="0" w:leftChars="0" w:firstLine="640"/>
        <w:rPr>
          <w:rFonts w:eastAsia="黑体"/>
          <w:b w:val="0"/>
          <w:bCs w:val="0"/>
          <w:sz w:val="32"/>
          <w:szCs w:val="32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三、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讲座主题</w:t>
      </w:r>
    </w:p>
    <w:p w14:paraId="48A58BEC">
      <w:pPr>
        <w:pStyle w:val="11"/>
        <w:widowControl/>
        <w:numPr>
          <w:ilvl w:val="0"/>
          <w:numId w:val="0"/>
        </w:numPr>
        <w:topLinePunct w:val="0"/>
        <w:ind w:left="0" w:leftChars="0" w:firstLine="616"/>
        <w:rPr>
          <w:rFonts w:eastAsia="仿宋_GB2312"/>
          <w:b w:val="0"/>
          <w:sz w:val="32"/>
          <w:szCs w:val="32"/>
        </w:rPr>
      </w:pPr>
      <w:r>
        <w:rPr>
          <w:rStyle w:val="19"/>
          <w:rFonts w:hint="eastAsia" w:eastAsia="楷体_GB2312"/>
          <w:lang w:eastAsia="zh-CN"/>
        </w:rPr>
        <w:t>（一）</w:t>
      </w:r>
      <w:r>
        <w:rPr>
          <w:rStyle w:val="19"/>
        </w:rPr>
        <w:t>10月专题</w:t>
      </w:r>
      <w:r>
        <w:rPr>
          <w:rFonts w:ascii="Times New Roman" w:hAnsi="Times New Roman" w:eastAsia="仿宋_GB2312" w:cs="仿宋_GB2312"/>
          <w:sz w:val="32"/>
          <w:szCs w:val="32"/>
        </w:rPr>
        <w:t>：</w:t>
      </w:r>
      <w:r>
        <w:rPr>
          <w:rFonts w:hint="eastAsia" w:cs="仿宋_GB2312"/>
          <w:sz w:val="32"/>
          <w:szCs w:val="32"/>
          <w:lang w:val="en-US" w:eastAsia="zh-CN"/>
        </w:rPr>
        <w:t>学术智能体</w:t>
      </w:r>
      <w:r>
        <w:rPr>
          <w:rFonts w:ascii="Times New Roman" w:hAnsi="Times New Roman" w:eastAsia="仿宋_GB2312" w:cs="仿宋_GB2312"/>
          <w:sz w:val="32"/>
          <w:szCs w:val="32"/>
        </w:rPr>
        <w:t>搭建</w:t>
      </w:r>
    </w:p>
    <w:p w14:paraId="648E807E">
      <w:pPr>
        <w:pStyle w:val="11"/>
        <w:widowControl/>
        <w:numPr>
          <w:ilvl w:val="0"/>
          <w:numId w:val="0"/>
        </w:numPr>
        <w:topLinePunct w:val="0"/>
        <w:ind w:left="0" w:leftChars="0" w:firstLine="616"/>
        <w:rPr>
          <w:rFonts w:eastAsia="仿宋_GB2312"/>
          <w:b w:val="0"/>
          <w:sz w:val="32"/>
          <w:szCs w:val="32"/>
        </w:rPr>
      </w:pPr>
      <w:r>
        <w:rPr>
          <w:rStyle w:val="19"/>
          <w:rFonts w:hint="eastAsia" w:eastAsia="楷体_GB2312"/>
          <w:lang w:eastAsia="zh-CN"/>
        </w:rPr>
        <w:t>（二）</w:t>
      </w:r>
      <w:r>
        <w:rPr>
          <w:rStyle w:val="19"/>
        </w:rPr>
        <w:t>11月专题</w:t>
      </w:r>
      <w:r>
        <w:rPr>
          <w:rFonts w:ascii="Times New Roman" w:hAnsi="Times New Roman" w:eastAsia="仿宋_GB2312" w:cs="仿宋_GB2312"/>
          <w:sz w:val="32"/>
          <w:szCs w:val="32"/>
        </w:rPr>
        <w:t>：AI赋能科研申报与C刊选题技巧</w:t>
      </w:r>
    </w:p>
    <w:p w14:paraId="3C94C0DD">
      <w:pPr>
        <w:pStyle w:val="11"/>
        <w:widowControl/>
        <w:numPr>
          <w:ilvl w:val="0"/>
          <w:numId w:val="0"/>
        </w:numPr>
        <w:topLinePunct w:val="0"/>
        <w:ind w:left="0" w:leftChars="0" w:firstLine="616"/>
        <w:rPr>
          <w:rFonts w:hint="eastAsia" w:eastAsia="仿宋_GB2312"/>
          <w:b w:val="0"/>
          <w:sz w:val="32"/>
          <w:szCs w:val="32"/>
          <w:lang w:val="en-US" w:eastAsia="zh-CN"/>
        </w:rPr>
      </w:pPr>
      <w:r>
        <w:rPr>
          <w:rStyle w:val="19"/>
          <w:rFonts w:hint="eastAsia" w:eastAsia="楷体_GB2312"/>
          <w:lang w:eastAsia="zh-CN"/>
        </w:rPr>
        <w:t>（三）</w:t>
      </w:r>
      <w:r>
        <w:rPr>
          <w:rStyle w:val="19"/>
        </w:rPr>
        <w:t>12月专题</w:t>
      </w:r>
      <w:r>
        <w:rPr>
          <w:rFonts w:ascii="Times New Roman" w:hAnsi="Times New Roman" w:eastAsia="仿宋_GB2312" w:cs="仿宋_GB2312"/>
          <w:sz w:val="32"/>
          <w:szCs w:val="32"/>
        </w:rPr>
        <w:t>：学术论文写作与投稿</w:t>
      </w:r>
      <w:r>
        <w:rPr>
          <w:rFonts w:hint="eastAsia" w:cs="仿宋_GB2312"/>
          <w:sz w:val="32"/>
          <w:szCs w:val="32"/>
          <w:lang w:val="en-US" w:eastAsia="zh-CN"/>
        </w:rPr>
        <w:t>技巧</w:t>
      </w:r>
    </w:p>
    <w:p w14:paraId="163E142A">
      <w:pPr>
        <w:pStyle w:val="2"/>
        <w:widowControl/>
        <w:numPr>
          <w:ilvl w:val="0"/>
          <w:numId w:val="0"/>
        </w:numPr>
        <w:topLinePunct w:val="0"/>
        <w:ind w:left="0" w:leftChars="0" w:firstLine="640"/>
        <w:rPr>
          <w:rFonts w:eastAsia="黑体"/>
          <w:b w:val="0"/>
          <w:bCs w:val="0"/>
          <w:sz w:val="32"/>
          <w:szCs w:val="32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四、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参与对象</w:t>
      </w:r>
    </w:p>
    <w:p w14:paraId="0836B0B7">
      <w:pPr>
        <w:pStyle w:val="11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全校各学院教师。</w:t>
      </w:r>
    </w:p>
    <w:p w14:paraId="2C6B1DA9">
      <w:pPr>
        <w:pStyle w:val="11"/>
        <w:widowControl/>
        <w:ind w:left="0" w:leftChars="0" w:firstLine="616" w:firstLineChars="200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具体每场讲座的精准时间、具体地点将另行通知。</w:t>
      </w:r>
    </w:p>
    <w:p w14:paraId="736A91FF">
      <w:pPr>
        <w:pStyle w:val="11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特此说明。</w:t>
      </w:r>
    </w:p>
    <w:p w14:paraId="2F68A63A">
      <w:pPr>
        <w:pStyle w:val="11"/>
        <w:widowControl/>
        <w:rPr>
          <w:rFonts w:hint="eastAsia" w:cs="仿宋_GB2312"/>
          <w:b w:val="0"/>
          <w:bCs w:val="0"/>
          <w:sz w:val="32"/>
          <w:szCs w:val="32"/>
          <w:lang w:eastAsia="zh-CN"/>
        </w:rPr>
      </w:pPr>
      <w:bookmarkStart w:id="0" w:name="_GoBack"/>
      <w:bookmarkEnd w:id="0"/>
    </w:p>
    <w:p w14:paraId="25AC22C1">
      <w:pPr>
        <w:pStyle w:val="11"/>
        <w:widowControl/>
        <w:jc w:val="center"/>
        <w:rPr>
          <w:rFonts w:hint="eastAsia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 xml:space="preserve">                                           </w:t>
      </w:r>
      <w:r>
        <w:rPr>
          <w:rFonts w:hint="eastAsia" w:cs="仿宋_GB2312"/>
          <w:b w:val="0"/>
          <w:bCs w:val="0"/>
          <w:sz w:val="32"/>
          <w:szCs w:val="32"/>
          <w:lang w:eastAsia="zh-CN"/>
        </w:rPr>
        <w:t>学科部</w:t>
      </w:r>
    </w:p>
    <w:p w14:paraId="503621F1">
      <w:pPr>
        <w:pStyle w:val="11"/>
        <w:widowControl/>
        <w:jc w:val="right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>2026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年</w:t>
      </w: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>9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月</w:t>
      </w:r>
    </w:p>
    <w:p w14:paraId="693B0579"/>
    <w:p w14:paraId="56122851">
      <w:pPr>
        <w:pStyle w:val="11"/>
        <w:bidi w:val="0"/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74" w:bottom="1984" w:left="1587" w:header="851" w:footer="1417" w:gutter="0"/>
      <w:pgNumType w:fmt="decimal" w:start="1"/>
      <w:cols w:space="425" w:num="1"/>
      <w:docGrid w:type="linesAndChars" w:linePitch="579" w:charSpace="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2B46188-8366-4AC4-9418-DE915E965BCC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2" w:fontKey="{CD07E3F7-A84C-4D63-81AD-348B4F3273AC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DAE8318E-0223-44D4-BCF6-DC26F7E6296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C1E4AEEE-10C8-48FB-A8B4-3B9AE0A6742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EBD594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FACED5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AMiZEMNwIAAGs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58FACED5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8FC7F9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A7D03E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GpUrO1gAAAAYBAAAPAAAAAAAAAAEAIAAAACIAAABkcnMvZG93bnJl&#10;di54bWxQSwECFAAUAAAACACHTuJAc3nUuj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52A7D03E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8F7624">
    <w:pPr>
      <w:pStyle w:val="1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B9F93F">
    <w:pPr>
      <w:pStyle w:val="1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evenAndOddHeaders w:val="1"/>
  <w:drawingGridHorizontalSpacing w:val="158"/>
  <w:drawingGridVerticalSpacing w:val="290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CD68EF"/>
    <w:rsid w:val="04CD68EF"/>
    <w:rsid w:val="0E967FBC"/>
    <w:rsid w:val="17D34C26"/>
    <w:rsid w:val="221D0C76"/>
    <w:rsid w:val="224A50E8"/>
    <w:rsid w:val="26923988"/>
    <w:rsid w:val="29A9358A"/>
    <w:rsid w:val="32452E2D"/>
    <w:rsid w:val="355423B2"/>
    <w:rsid w:val="4DF668D0"/>
    <w:rsid w:val="5E7702C6"/>
    <w:rsid w:val="64D62B1B"/>
    <w:rsid w:val="74F43467"/>
    <w:rsid w:val="75B4336E"/>
    <w:rsid w:val="76DA1294"/>
    <w:rsid w:val="7BBD6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officialmode val="1"/>
    </mc:Choice>
  </mc:AlternateContent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link w:val="19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7">
    <w:name w:val="Default Paragraph Font"/>
    <w:semiHidden/>
    <w:qFormat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5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character" w:styleId="18">
    <w:name w:val="Strong"/>
    <w:basedOn w:val="17"/>
    <w:qFormat/>
    <w:uiPriority w:val="0"/>
    <w:rPr>
      <w:b/>
    </w:rPr>
  </w:style>
  <w:style w:type="character" w:customStyle="1" w:styleId="19">
    <w:name w:val="标题 2 Char"/>
    <w:link w:val="3"/>
    <w:qFormat/>
    <w:uiPriority w:val="0"/>
    <w:rPr>
      <w:rFonts w:ascii="Times New Roman" w:hAnsi="Times New Roman" w:eastAsia="楷体_GB2312" w:cs="楷体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440</Words>
  <Characters>455</Characters>
  <Lines>0</Lines>
  <Paragraphs>0</Paragraphs>
  <TotalTime>55</TotalTime>
  <ScaleCrop>false</ScaleCrop>
  <LinksUpToDate>false</LinksUpToDate>
  <CharactersWithSpaces>499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2026-09-23T08:11:00Z</dcterms:created>
  <dc:creator>寻梦</dc:creator>
  <cp:lastModifiedBy>寻梦</cp:lastModifiedBy>
  <dcterms:modified xsi:type="dcterms:W3CDTF">2026-09-28T08:10:19Z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CF3B2CE02C394C6D9A92C0751FB96990_13</vt:lpwstr>
  </property>
  <property fmtid="{D5CDD505-2E9C-101B-9397-08002B2CF9AE}" pid="4" name="KSOTemplateDocerSaveRecord">
    <vt:lpwstr>eyJoZGlkIjoiMWJiYWZiYTE1MDg4NDc1Zjc3ZmQ1YWMxMTAyNWFkMDgiLCJ1c2VySWQiOiIxNjkzNjMxMTc2In0=</vt:lpwstr>
  </property>
</Properties>
</file>